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360" w:afterLines="0"/>
      </w:pPr>
      <w:r>
        <w:rPr>
          <w:rFonts w:hint="eastAsia"/>
        </w:rPr>
        <w:t>天津市宇航智能装备技术企业重点实验室</w:t>
      </w:r>
    </w:p>
    <w:p>
      <w:pPr>
        <w:pStyle w:val="11"/>
        <w:spacing w:beforeLines="0" w:after="360"/>
      </w:pPr>
      <w:r>
        <w:rPr>
          <w:rFonts w:hint="eastAsia"/>
        </w:rPr>
        <w:t>2021年度开放课题指南</w:t>
      </w:r>
    </w:p>
    <w:p>
      <w:pPr>
        <w:pStyle w:val="10"/>
        <w:snapToGrid/>
      </w:pPr>
      <w:r>
        <w:rPr>
          <w:rFonts w:hint="eastAsia"/>
        </w:rPr>
        <w:t>天津市宇航智能装备技术企业重点实验室（以下简称：实验室），</w:t>
      </w:r>
      <w:r>
        <w:t>针对航天器在高可靠性、高耦合度、强约束、高系统复杂度等方面所具有的鲜明特点</w:t>
      </w:r>
      <w:r>
        <w:rPr>
          <w:rFonts w:hint="eastAsia"/>
        </w:rPr>
        <w:t>，面向我国航天器制造过程中对高端智能装备和技术的重大需求，以提高卫星制造效率和效益为目标，开展高效能制造系统相关基础理论、应用基础理论和应用技术研究。实验室包括</w:t>
      </w:r>
      <w:r>
        <w:rPr>
          <w:rFonts w:hint="eastAsia"/>
          <w:b/>
        </w:rPr>
        <w:t>宇航制造装备基础设计理论、宇航制造的智能装备技术、宇航制造过程仿真技术、宇航高效智能制造系统集成技术</w:t>
      </w:r>
      <w:r>
        <w:rPr>
          <w:rFonts w:hint="eastAsia"/>
        </w:rPr>
        <w:t>四个研究方向。</w:t>
      </w:r>
    </w:p>
    <w:p>
      <w:pPr>
        <w:pStyle w:val="10"/>
        <w:snapToGrid/>
      </w:pPr>
      <w:r>
        <w:rPr>
          <w:rFonts w:hint="eastAsia"/>
        </w:rPr>
        <w:t>为进一步加强实验室对外科研合作与学术交流力度，构建以实验室为核心的协同创新体系，设立开放课题，支持国内高校及研究院所科研人员开展与实验室主要研究方向相关的研究。现将2021年度开放课题指南予以发布，有关申报事项通知如下：</w:t>
      </w:r>
    </w:p>
    <w:p>
      <w:pPr>
        <w:pStyle w:val="10"/>
        <w:spacing w:before="120" w:beforeLines="50" w:after="120" w:afterLines="50" w:line="360" w:lineRule="auto"/>
        <w:ind w:firstLine="0"/>
        <w:outlineLvl w:val="0"/>
        <w:rPr>
          <w:b/>
          <w:sz w:val="28"/>
          <w:szCs w:val="28"/>
        </w:rPr>
      </w:pPr>
      <w:r>
        <w:rPr>
          <w:rFonts w:hint="eastAsia"/>
          <w:b/>
          <w:sz w:val="28"/>
          <w:szCs w:val="28"/>
        </w:rPr>
        <w:t>一、选题原则</w:t>
      </w:r>
    </w:p>
    <w:p>
      <w:pPr>
        <w:pStyle w:val="10"/>
        <w:rPr>
          <w:rFonts w:asciiTheme="minorEastAsia" w:hAnsiTheme="minorEastAsia" w:eastAsiaTheme="minorEastAsia"/>
          <w:szCs w:val="24"/>
        </w:rPr>
      </w:pPr>
      <w:r>
        <w:rPr>
          <w:rFonts w:hint="eastAsia" w:asciiTheme="minorEastAsia" w:hAnsiTheme="minorEastAsia" w:eastAsiaTheme="minorEastAsia"/>
          <w:szCs w:val="24"/>
        </w:rPr>
        <w:t>1.符合实验室研究方向和开放课题定位；</w:t>
      </w:r>
    </w:p>
    <w:p>
      <w:pPr>
        <w:pStyle w:val="10"/>
        <w:rPr>
          <w:rFonts w:asciiTheme="minorEastAsia" w:hAnsiTheme="minorEastAsia" w:eastAsiaTheme="minorEastAsia"/>
          <w:szCs w:val="24"/>
        </w:rPr>
      </w:pPr>
      <w:r>
        <w:rPr>
          <w:rFonts w:hint="eastAsia" w:asciiTheme="minorEastAsia" w:hAnsiTheme="minorEastAsia" w:eastAsiaTheme="minorEastAsia"/>
          <w:szCs w:val="24"/>
        </w:rPr>
        <w:t>2.符合前沿性、颠覆性技术方向；</w:t>
      </w:r>
    </w:p>
    <w:p>
      <w:pPr>
        <w:pStyle w:val="10"/>
      </w:pPr>
      <w:r>
        <w:rPr>
          <w:rFonts w:hint="eastAsia" w:asciiTheme="minorEastAsia" w:hAnsiTheme="minorEastAsia" w:eastAsiaTheme="minorEastAsia"/>
          <w:szCs w:val="24"/>
        </w:rPr>
        <w:t>3.能够牵引新原理、新技术发展。</w:t>
      </w:r>
    </w:p>
    <w:p>
      <w:pPr>
        <w:pStyle w:val="12"/>
        <w:spacing w:before="120" w:after="120"/>
        <w:rPr>
          <w:b/>
          <w:sz w:val="28"/>
          <w:szCs w:val="28"/>
        </w:rPr>
      </w:pPr>
      <w:r>
        <w:rPr>
          <w:rFonts w:hint="eastAsia"/>
          <w:b/>
          <w:sz w:val="28"/>
          <w:szCs w:val="28"/>
        </w:rPr>
        <w:t>二、申请要求</w:t>
      </w:r>
    </w:p>
    <w:p>
      <w:pPr>
        <w:pStyle w:val="13"/>
        <w:spacing w:beforeLines="0" w:afterLines="0"/>
        <w:rPr>
          <w:sz w:val="24"/>
          <w:szCs w:val="24"/>
        </w:rPr>
      </w:pPr>
      <w:r>
        <w:rPr>
          <w:rFonts w:hint="eastAsia"/>
          <w:sz w:val="24"/>
          <w:szCs w:val="24"/>
        </w:rPr>
        <w:t>（一）申请人条件</w:t>
      </w:r>
    </w:p>
    <w:p>
      <w:pPr>
        <w:pStyle w:val="10"/>
        <w:rPr>
          <w:szCs w:val="24"/>
        </w:rPr>
      </w:pPr>
      <w:r>
        <w:rPr>
          <w:rFonts w:hint="eastAsia"/>
          <w:szCs w:val="24"/>
        </w:rPr>
        <w:t xml:space="preserve">1. </w:t>
      </w:r>
      <w:r>
        <w:rPr>
          <w:rFonts w:hint="eastAsia" w:asciiTheme="minorEastAsia" w:hAnsiTheme="minorEastAsia" w:eastAsiaTheme="minorEastAsia"/>
          <w:szCs w:val="24"/>
        </w:rPr>
        <w:t>申请人须为课题申请单位正式人员，且实际负责课题研究，具备主持课题工作的能力与条件；</w:t>
      </w:r>
    </w:p>
    <w:p>
      <w:pPr>
        <w:pStyle w:val="10"/>
        <w:rPr>
          <w:szCs w:val="24"/>
        </w:rPr>
      </w:pPr>
      <w:r>
        <w:rPr>
          <w:rFonts w:hint="eastAsia"/>
          <w:szCs w:val="24"/>
        </w:rPr>
        <w:t>2. 课题</w:t>
      </w:r>
      <w:r>
        <w:rPr>
          <w:szCs w:val="24"/>
        </w:rPr>
        <w:t>申请者</w:t>
      </w:r>
      <w:r>
        <w:rPr>
          <w:rFonts w:hint="eastAsia"/>
          <w:szCs w:val="24"/>
        </w:rPr>
        <w:t>一般</w:t>
      </w:r>
      <w:r>
        <w:rPr>
          <w:szCs w:val="24"/>
        </w:rPr>
        <w:t>应具备博士学位或副高级以上职称</w:t>
      </w:r>
      <w:r>
        <w:rPr>
          <w:rFonts w:hint="eastAsia"/>
          <w:szCs w:val="24"/>
        </w:rPr>
        <w:t>，硕士学位或中级职称者需提交两位领域内具有副高级以上职称研究人员的推荐书；</w:t>
      </w:r>
    </w:p>
    <w:p>
      <w:pPr>
        <w:pStyle w:val="10"/>
        <w:rPr>
          <w:szCs w:val="24"/>
        </w:rPr>
      </w:pPr>
      <w:r>
        <w:rPr>
          <w:rFonts w:hint="eastAsia"/>
          <w:szCs w:val="24"/>
        </w:rPr>
        <w:t>3.</w:t>
      </w:r>
      <w:r>
        <w:rPr>
          <w:szCs w:val="24"/>
        </w:rPr>
        <w:t xml:space="preserve"> </w:t>
      </w:r>
      <w:r>
        <w:rPr>
          <w:rFonts w:hint="eastAsia"/>
          <w:szCs w:val="24"/>
        </w:rPr>
        <w:t>每位申请者每年最多申请1项开放课题项目，项目参与人员至少有1名518所正式员工或实验室固定人员（含骨干人员）；</w:t>
      </w:r>
    </w:p>
    <w:p>
      <w:pPr>
        <w:pStyle w:val="10"/>
        <w:rPr>
          <w:szCs w:val="24"/>
        </w:rPr>
      </w:pPr>
      <w:r>
        <w:rPr>
          <w:rFonts w:hint="eastAsia"/>
          <w:szCs w:val="24"/>
        </w:rPr>
        <w:t>4.</w:t>
      </w:r>
      <w:r>
        <w:rPr>
          <w:szCs w:val="24"/>
        </w:rPr>
        <w:t xml:space="preserve"> 为保证课题顺利进行</w:t>
      </w:r>
      <w:r>
        <w:rPr>
          <w:rFonts w:hint="eastAsia"/>
          <w:szCs w:val="24"/>
        </w:rPr>
        <w:t>，</w:t>
      </w:r>
      <w:r>
        <w:rPr>
          <w:szCs w:val="24"/>
        </w:rPr>
        <w:t>申请人年龄原则上不超过</w:t>
      </w:r>
      <w:r>
        <w:rPr>
          <w:rFonts w:hint="eastAsia"/>
          <w:szCs w:val="24"/>
        </w:rPr>
        <w:t>50岁，鼓励年轻的研究人员申请。</w:t>
      </w:r>
    </w:p>
    <w:p>
      <w:pPr>
        <w:pStyle w:val="13"/>
        <w:spacing w:before="120" w:after="120"/>
        <w:rPr>
          <w:sz w:val="24"/>
          <w:szCs w:val="24"/>
        </w:rPr>
      </w:pPr>
      <w:r>
        <w:rPr>
          <w:rFonts w:hint="eastAsia"/>
          <w:sz w:val="24"/>
          <w:szCs w:val="24"/>
        </w:rPr>
        <w:t>（二）申请时间要求</w:t>
      </w:r>
    </w:p>
    <w:p>
      <w:pPr>
        <w:pStyle w:val="10"/>
        <w:rPr>
          <w:szCs w:val="24"/>
        </w:rPr>
      </w:pPr>
      <w:r>
        <w:rPr>
          <w:rFonts w:hint="eastAsia"/>
          <w:szCs w:val="24"/>
        </w:rPr>
        <w:t>开放课题申请截止日期为2021年9月30日，以申请书邮寄日期为准。</w:t>
      </w:r>
    </w:p>
    <w:p>
      <w:pPr>
        <w:pStyle w:val="13"/>
        <w:spacing w:before="120" w:after="120"/>
        <w:rPr>
          <w:sz w:val="24"/>
          <w:szCs w:val="24"/>
        </w:rPr>
      </w:pPr>
      <w:r>
        <w:rPr>
          <w:rFonts w:hint="eastAsia"/>
          <w:sz w:val="24"/>
          <w:szCs w:val="24"/>
        </w:rPr>
        <w:t>（三）申请程序及要求</w:t>
      </w:r>
    </w:p>
    <w:p>
      <w:pPr>
        <w:pStyle w:val="10"/>
        <w:rPr>
          <w:szCs w:val="24"/>
        </w:rPr>
      </w:pPr>
      <w:r>
        <w:rPr>
          <w:rFonts w:hint="eastAsia"/>
          <w:szCs w:val="24"/>
        </w:rPr>
        <w:t>1.</w:t>
      </w:r>
      <w:r>
        <w:rPr>
          <w:szCs w:val="24"/>
        </w:rPr>
        <w:t xml:space="preserve"> </w:t>
      </w:r>
      <w:r>
        <w:rPr>
          <w:rFonts w:hint="eastAsia"/>
          <w:szCs w:val="24"/>
        </w:rPr>
        <w:t>课题申请者根据指南提出研究课题，编制《天津市宇航智能装备技术企业重点实验室开放课题申请书》，经申请单位（或部门、学院等）审查并加盖公章后，将纸质版文档（一式三份）报送实验室管理办公室，并将电子版以邮件形式发送到指定邮箱；</w:t>
      </w:r>
    </w:p>
    <w:p>
      <w:pPr>
        <w:pStyle w:val="10"/>
        <w:rPr>
          <w:szCs w:val="24"/>
        </w:rPr>
      </w:pPr>
      <w:r>
        <w:rPr>
          <w:rFonts w:hint="eastAsia"/>
          <w:szCs w:val="24"/>
        </w:rPr>
        <w:t>2.</w:t>
      </w:r>
      <w:r>
        <w:rPr>
          <w:szCs w:val="24"/>
        </w:rPr>
        <w:t xml:space="preserve"> </w:t>
      </w:r>
      <w:r>
        <w:rPr>
          <w:rFonts w:asciiTheme="minorEastAsia" w:hAnsiTheme="minorEastAsia" w:eastAsiaTheme="minorEastAsia"/>
          <w:szCs w:val="24"/>
        </w:rPr>
        <w:t>实验室</w:t>
      </w:r>
      <w:r>
        <w:rPr>
          <w:rFonts w:hint="eastAsia" w:asciiTheme="minorEastAsia" w:hAnsiTheme="minorEastAsia" w:eastAsiaTheme="minorEastAsia"/>
          <w:szCs w:val="24"/>
        </w:rPr>
        <w:t>组织对申报课题进行评审，形成课题建议资助清单</w:t>
      </w:r>
      <w:r>
        <w:rPr>
          <w:rFonts w:hint="eastAsia"/>
          <w:szCs w:val="24"/>
        </w:rPr>
        <w:t>；</w:t>
      </w:r>
    </w:p>
    <w:p>
      <w:pPr>
        <w:pStyle w:val="10"/>
        <w:rPr>
          <w:szCs w:val="24"/>
        </w:rPr>
      </w:pPr>
      <w:r>
        <w:rPr>
          <w:rFonts w:hint="eastAsia"/>
          <w:szCs w:val="24"/>
        </w:rPr>
        <w:t>3.</w:t>
      </w:r>
      <w:r>
        <w:rPr>
          <w:szCs w:val="24"/>
        </w:rPr>
        <w:t xml:space="preserve"> </w:t>
      </w:r>
      <w:r>
        <w:rPr>
          <w:rFonts w:hint="eastAsia"/>
          <w:szCs w:val="24"/>
        </w:rPr>
        <w:t>有以下</w:t>
      </w:r>
      <w:r>
        <w:rPr>
          <w:szCs w:val="24"/>
        </w:rPr>
        <w:t>情况之一</w:t>
      </w:r>
      <w:r>
        <w:rPr>
          <w:rFonts w:hint="eastAsia"/>
          <w:szCs w:val="24"/>
        </w:rPr>
        <w:t>的课题将不予资助：</w:t>
      </w:r>
    </w:p>
    <w:p>
      <w:pPr>
        <w:pStyle w:val="10"/>
        <w:numPr>
          <w:ilvl w:val="0"/>
          <w:numId w:val="1"/>
        </w:numPr>
        <w:rPr>
          <w:szCs w:val="24"/>
        </w:rPr>
      </w:pPr>
      <w:r>
        <w:rPr>
          <w:rFonts w:hint="eastAsia"/>
          <w:szCs w:val="24"/>
        </w:rPr>
        <w:t>申请手续不完备，申请书填写不符合规定；</w:t>
      </w:r>
    </w:p>
    <w:p>
      <w:pPr>
        <w:pStyle w:val="10"/>
        <w:numPr>
          <w:ilvl w:val="0"/>
          <w:numId w:val="1"/>
        </w:numPr>
        <w:rPr>
          <w:szCs w:val="24"/>
        </w:rPr>
      </w:pPr>
      <w:r>
        <w:rPr>
          <w:rFonts w:hint="eastAsia"/>
          <w:szCs w:val="24"/>
        </w:rPr>
        <w:t>不符合开放课题资助范围；</w:t>
      </w:r>
    </w:p>
    <w:p>
      <w:pPr>
        <w:pStyle w:val="10"/>
        <w:numPr>
          <w:ilvl w:val="0"/>
          <w:numId w:val="1"/>
        </w:numPr>
        <w:rPr>
          <w:szCs w:val="24"/>
        </w:rPr>
      </w:pPr>
      <w:r>
        <w:rPr>
          <w:szCs w:val="24"/>
        </w:rPr>
        <w:t>申请者作为课题负责人申请项目数量超过</w:t>
      </w:r>
      <w:r>
        <w:rPr>
          <w:rFonts w:hint="eastAsia"/>
          <w:szCs w:val="24"/>
        </w:rPr>
        <w:t>1项；</w:t>
      </w:r>
    </w:p>
    <w:p>
      <w:pPr>
        <w:pStyle w:val="10"/>
        <w:numPr>
          <w:ilvl w:val="0"/>
          <w:numId w:val="1"/>
        </w:numPr>
        <w:rPr>
          <w:szCs w:val="24"/>
        </w:rPr>
      </w:pPr>
      <w:r>
        <w:rPr>
          <w:rFonts w:hint="eastAsia"/>
          <w:szCs w:val="24"/>
        </w:rPr>
        <w:t>申请课题内容与《指南》方向不符；</w:t>
      </w:r>
    </w:p>
    <w:p>
      <w:pPr>
        <w:pStyle w:val="10"/>
        <w:numPr>
          <w:ilvl w:val="0"/>
          <w:numId w:val="1"/>
        </w:numPr>
        <w:rPr>
          <w:szCs w:val="24"/>
        </w:rPr>
      </w:pPr>
      <w:r>
        <w:rPr>
          <w:rFonts w:hint="eastAsia"/>
          <w:szCs w:val="24"/>
        </w:rPr>
        <w:t>有未结题的实验室开放课题；</w:t>
      </w:r>
    </w:p>
    <w:p>
      <w:pPr>
        <w:pStyle w:val="10"/>
        <w:numPr>
          <w:ilvl w:val="0"/>
          <w:numId w:val="1"/>
        </w:numPr>
        <w:rPr>
          <w:szCs w:val="24"/>
        </w:rPr>
      </w:pPr>
      <w:r>
        <w:rPr>
          <w:rFonts w:hint="eastAsia"/>
          <w:szCs w:val="24"/>
        </w:rPr>
        <w:t>申请者课题申请过程中存在虚假、违规和学术不端行为等。</w:t>
      </w:r>
    </w:p>
    <w:p>
      <w:pPr>
        <w:pStyle w:val="12"/>
        <w:spacing w:before="120" w:after="120"/>
        <w:rPr>
          <w:b/>
          <w:sz w:val="28"/>
          <w:szCs w:val="28"/>
        </w:rPr>
      </w:pPr>
      <w:r>
        <w:rPr>
          <w:rFonts w:hint="eastAsia"/>
          <w:b/>
          <w:sz w:val="28"/>
          <w:szCs w:val="28"/>
        </w:rPr>
        <w:t>三、成果要求</w:t>
      </w:r>
    </w:p>
    <w:p>
      <w:pPr>
        <w:pStyle w:val="10"/>
      </w:pPr>
      <w:r>
        <w:rPr>
          <w:rFonts w:hint="eastAsia"/>
        </w:rPr>
        <w:t>1. 发表论文应注明实验室开放课题资助（标注课题编号）；</w:t>
      </w:r>
    </w:p>
    <w:p>
      <w:pPr>
        <w:pStyle w:val="10"/>
        <w:rPr>
          <w:color w:val="FF0000"/>
        </w:rPr>
      </w:pPr>
      <w:r>
        <w:rPr>
          <w:rFonts w:hint="eastAsia"/>
        </w:rPr>
        <w:t>2. 课题结题时，研究成果要求详见附件申报指南。</w:t>
      </w:r>
    </w:p>
    <w:p>
      <w:pPr>
        <w:pStyle w:val="12"/>
        <w:spacing w:before="120" w:after="120"/>
        <w:rPr>
          <w:b/>
          <w:sz w:val="28"/>
          <w:szCs w:val="28"/>
        </w:rPr>
      </w:pPr>
      <w:r>
        <w:rPr>
          <w:rFonts w:hint="eastAsia"/>
          <w:b/>
          <w:sz w:val="28"/>
          <w:szCs w:val="28"/>
        </w:rPr>
        <w:t xml:space="preserve">四、课题管理 </w:t>
      </w:r>
    </w:p>
    <w:p>
      <w:pPr>
        <w:pStyle w:val="10"/>
      </w:pPr>
      <w:r>
        <w:rPr>
          <w:rFonts w:hint="eastAsia"/>
        </w:rPr>
        <w:t>开放课题严格按照《五一八所重点实验室开放课题管理实施细则》执行。</w:t>
      </w:r>
    </w:p>
    <w:p>
      <w:pPr>
        <w:pStyle w:val="12"/>
        <w:spacing w:before="120" w:after="120"/>
        <w:rPr>
          <w:b/>
          <w:sz w:val="28"/>
          <w:szCs w:val="28"/>
        </w:rPr>
      </w:pPr>
      <w:r>
        <w:rPr>
          <w:rFonts w:hint="eastAsia"/>
          <w:b/>
          <w:sz w:val="28"/>
          <w:szCs w:val="28"/>
        </w:rPr>
        <w:t>五、联系方式</w:t>
      </w:r>
    </w:p>
    <w:p>
      <w:pPr>
        <w:pStyle w:val="10"/>
      </w:pPr>
      <w:r>
        <w:rPr>
          <w:rFonts w:hint="eastAsia"/>
        </w:rPr>
        <w:t>1.</w:t>
      </w:r>
      <w:r>
        <w:t xml:space="preserve"> </w:t>
      </w:r>
      <w:r>
        <w:rPr>
          <w:rFonts w:hint="eastAsia"/>
        </w:rPr>
        <w:t>事务咨询：王妍，15522795856</w:t>
      </w:r>
    </w:p>
    <w:p>
      <w:pPr>
        <w:pStyle w:val="10"/>
      </w:pPr>
      <w:r>
        <w:rPr>
          <w:rFonts w:hint="eastAsia"/>
        </w:rPr>
        <w:t>2.</w:t>
      </w:r>
      <w:r>
        <w:t xml:space="preserve"> </w:t>
      </w:r>
      <w:r>
        <w:rPr>
          <w:rFonts w:hint="eastAsia"/>
        </w:rPr>
        <w:t>通讯地址：天津市滨海高新区滨海高新七路航天五院天津基地</w:t>
      </w:r>
    </w:p>
    <w:p>
      <w:pPr>
        <w:pStyle w:val="10"/>
      </w:pPr>
      <w:r>
        <w:rPr>
          <w:rFonts w:hint="eastAsia"/>
        </w:rPr>
        <w:t>3.</w:t>
      </w:r>
      <w:r>
        <w:t xml:space="preserve"> </w:t>
      </w:r>
      <w:r>
        <w:rPr>
          <w:rFonts w:hint="eastAsia"/>
        </w:rPr>
        <w:t>邮编：300301</w:t>
      </w:r>
    </w:p>
    <w:p>
      <w:pPr>
        <w:pStyle w:val="10"/>
      </w:pPr>
      <w:r>
        <w:rPr>
          <w:rFonts w:hint="eastAsia"/>
        </w:rPr>
        <w:t>4. 电子邮箱：</w:t>
      </w:r>
      <w:r>
        <w:fldChar w:fldCharType="begin"/>
      </w:r>
      <w:r>
        <w:instrText xml:space="preserve"> HYPERLINK "mailto:tjznzb_keylab@163.com" </w:instrText>
      </w:r>
      <w:r>
        <w:fldChar w:fldCharType="separate"/>
      </w:r>
      <w:r>
        <w:rPr>
          <w:rStyle w:val="9"/>
          <w:rFonts w:hint="eastAsia"/>
        </w:rPr>
        <w:t>tjznzb</w:t>
      </w:r>
      <w:r>
        <w:rPr>
          <w:rStyle w:val="9"/>
        </w:rPr>
        <w:t>_keylab</w:t>
      </w:r>
      <w:r>
        <w:rPr>
          <w:rStyle w:val="9"/>
          <w:rFonts w:hint="eastAsia"/>
        </w:rPr>
        <w:t>@163.com</w:t>
      </w:r>
      <w:r>
        <w:rPr>
          <w:rStyle w:val="9"/>
          <w:rFonts w:hint="eastAsia"/>
        </w:rPr>
        <w:fldChar w:fldCharType="end"/>
      </w:r>
    </w:p>
    <w:p>
      <w:pPr>
        <w:pStyle w:val="10"/>
      </w:pPr>
    </w:p>
    <w:p>
      <w:pPr>
        <w:pStyle w:val="10"/>
      </w:pPr>
    </w:p>
    <w:p>
      <w:pPr>
        <w:pStyle w:val="10"/>
        <w:jc w:val="right"/>
        <w:rPr>
          <w:b/>
        </w:rPr>
      </w:pPr>
      <w:r>
        <w:rPr>
          <w:rFonts w:hint="eastAsia"/>
          <w:b/>
        </w:rPr>
        <w:t>天津市宇航智能装备技术企业重点实验室</w:t>
      </w:r>
    </w:p>
    <w:p>
      <w:pPr>
        <w:pStyle w:val="10"/>
        <w:ind w:right="964"/>
        <w:jc w:val="right"/>
        <w:rPr>
          <w:b/>
        </w:rPr>
      </w:pPr>
      <w:r>
        <w:rPr>
          <w:rFonts w:hint="eastAsia"/>
          <w:b/>
        </w:rPr>
        <w:t>二〇二一年八月</w:t>
      </w:r>
    </w:p>
    <w:p>
      <w:pPr>
        <w:pStyle w:val="10"/>
      </w:pPr>
    </w:p>
    <w:p>
      <w:pPr>
        <w:pStyle w:val="10"/>
        <w:ind w:firstLine="0"/>
      </w:pPr>
      <w:r>
        <w:rPr>
          <w:rFonts w:hint="eastAsia"/>
        </w:rPr>
        <w:t>附件：</w:t>
      </w:r>
    </w:p>
    <w:p>
      <w:pPr>
        <w:pStyle w:val="10"/>
      </w:pPr>
      <w:r>
        <w:rPr>
          <w:rFonts w:hint="eastAsia"/>
        </w:rPr>
        <w:t>《天津市宇航智能装备技术企业重点实验室2020年度重点支持方向》</w:t>
      </w:r>
    </w:p>
    <w:p>
      <w:pPr>
        <w:pStyle w:val="10"/>
        <w:rPr>
          <w:szCs w:val="24"/>
        </w:rPr>
      </w:pPr>
      <w:r>
        <w:rPr>
          <w:rFonts w:hint="eastAsia"/>
          <w:szCs w:val="24"/>
        </w:rPr>
        <w:t>《五一八所重点实验室开放课题管理实施细则》（含申请书）</w:t>
      </w:r>
    </w:p>
    <w:p>
      <w:pPr>
        <w:pStyle w:val="10"/>
      </w:pPr>
    </w:p>
    <w:p>
      <w:pPr>
        <w:pStyle w:val="10"/>
      </w:pPr>
    </w:p>
    <w:p>
      <w:pPr>
        <w:pStyle w:val="10"/>
      </w:pPr>
    </w:p>
    <w:p>
      <w:pPr>
        <w:pStyle w:val="10"/>
        <w:ind w:firstLine="0"/>
        <w:sectPr>
          <w:pgSz w:w="11906" w:h="16838"/>
          <w:pgMar w:top="1440" w:right="1800" w:bottom="1440" w:left="1800" w:header="851" w:footer="992" w:gutter="0"/>
          <w:cols w:space="425" w:num="1"/>
          <w:docGrid w:linePitch="326" w:charSpace="0"/>
        </w:sectPr>
      </w:pPr>
    </w:p>
    <w:p>
      <w:pPr>
        <w:pStyle w:val="10"/>
        <w:spacing w:before="120" w:beforeLines="50" w:after="120" w:afterLines="50" w:line="360" w:lineRule="auto"/>
        <w:ind w:firstLine="0"/>
        <w:outlineLvl w:val="0"/>
        <w:rPr>
          <w:b/>
          <w:sz w:val="28"/>
          <w:szCs w:val="28"/>
        </w:rPr>
      </w:pPr>
      <w:r>
        <w:rPr>
          <w:rFonts w:hint="eastAsia"/>
          <w:b/>
          <w:sz w:val="28"/>
          <w:szCs w:val="28"/>
        </w:rPr>
        <w:t>附件：</w:t>
      </w:r>
    </w:p>
    <w:p>
      <w:pPr>
        <w:pStyle w:val="10"/>
        <w:spacing w:before="120" w:beforeLines="50" w:after="120" w:afterLines="50" w:line="240" w:lineRule="auto"/>
        <w:ind w:firstLine="0"/>
        <w:jc w:val="center"/>
        <w:outlineLvl w:val="0"/>
        <w:rPr>
          <w:b/>
          <w:sz w:val="28"/>
          <w:szCs w:val="28"/>
        </w:rPr>
      </w:pPr>
      <w:r>
        <w:rPr>
          <w:rFonts w:hint="eastAsia"/>
          <w:b/>
          <w:sz w:val="28"/>
          <w:szCs w:val="28"/>
        </w:rPr>
        <w:t>天津市宇航智能装备技术企业重点实验室</w:t>
      </w:r>
    </w:p>
    <w:p>
      <w:pPr>
        <w:pStyle w:val="10"/>
        <w:spacing w:before="120" w:beforeLines="50" w:after="480" w:afterLines="200" w:line="240" w:lineRule="auto"/>
        <w:ind w:firstLine="0"/>
        <w:jc w:val="center"/>
        <w:outlineLvl w:val="0"/>
        <w:rPr>
          <w:b/>
          <w:sz w:val="28"/>
          <w:szCs w:val="28"/>
        </w:rPr>
      </w:pPr>
      <w:r>
        <w:rPr>
          <w:rFonts w:hint="eastAsia"/>
          <w:b/>
          <w:sz w:val="28"/>
          <w:szCs w:val="28"/>
        </w:rPr>
        <w:t>2021年度开放课题指南</w:t>
      </w:r>
    </w:p>
    <w:p>
      <w:pPr>
        <w:pStyle w:val="10"/>
        <w:rPr>
          <w:rFonts w:ascii="宋体" w:hAnsi="宋体" w:cs="宋体"/>
          <w:szCs w:val="24"/>
          <w:shd w:val="clear" w:color="auto" w:fill="FFFFFF"/>
        </w:rPr>
      </w:pPr>
      <w:r>
        <w:rPr>
          <w:rFonts w:hint="eastAsia" w:ascii="宋体" w:hAnsi="宋体" w:cs="宋体"/>
          <w:color w:val="333333"/>
          <w:szCs w:val="24"/>
          <w:shd w:val="clear" w:color="auto" w:fill="FFFFFF"/>
        </w:rPr>
        <w:t>2021年度实验室</w:t>
      </w:r>
      <w:r>
        <w:rPr>
          <w:rFonts w:hint="eastAsia" w:ascii="宋体" w:hAnsi="宋体" w:cs="宋体"/>
          <w:szCs w:val="24"/>
          <w:shd w:val="clear" w:color="auto" w:fill="FFFFFF"/>
        </w:rPr>
        <w:t>开放课</w:t>
      </w:r>
      <w:r>
        <w:rPr>
          <w:rFonts w:hint="eastAsia" w:asciiTheme="minorEastAsia" w:hAnsiTheme="minorEastAsia" w:eastAsiaTheme="minorEastAsia"/>
          <w:szCs w:val="24"/>
        </w:rPr>
        <w:t>题重点</w:t>
      </w:r>
      <w:r>
        <w:t>针对航天器在高可靠性、高耦合度、强约束、高系统复杂度等方面所具有的鲜明特点</w:t>
      </w:r>
      <w:r>
        <w:rPr>
          <w:rFonts w:hint="eastAsia"/>
        </w:rPr>
        <w:t>，面向我国航天器制造过程中对高端智能装备和技术的重大需求，以提高卫星制造效率和效益为目标，开展高效能制造系统相关基础理论、应用基础理论和应用技术的研究，</w:t>
      </w:r>
      <w:r>
        <w:rPr>
          <w:rFonts w:hint="eastAsia" w:ascii="宋体" w:hAnsi="宋体" w:cs="宋体"/>
          <w:szCs w:val="24"/>
          <w:shd w:val="clear" w:color="auto" w:fill="FFFFFF"/>
        </w:rPr>
        <w:t>支持方向如下：</w:t>
      </w:r>
    </w:p>
    <w:p>
      <w:pPr>
        <w:pStyle w:val="10"/>
        <w:spacing w:before="120" w:beforeLines="50" w:after="120" w:afterLines="50"/>
        <w:ind w:firstLine="0"/>
        <w:rPr>
          <w:b/>
          <w:color w:val="FF0000"/>
          <w:kern w:val="0"/>
          <w:szCs w:val="24"/>
        </w:rPr>
      </w:pPr>
      <w:r>
        <w:rPr>
          <w:rFonts w:hint="eastAsia" w:asciiTheme="minorEastAsia" w:hAnsiTheme="minorEastAsia" w:eastAsiaTheme="minorEastAsia"/>
          <w:b/>
          <w:szCs w:val="24"/>
        </w:rPr>
        <w:t>（一）智能制造系统</w:t>
      </w:r>
    </w:p>
    <w:p>
      <w:pPr>
        <w:pStyle w:val="10"/>
        <w:ind w:firstLine="480" w:firstLineChars="200"/>
        <w:outlineLvl w:val="0"/>
        <w:rPr>
          <w:rFonts w:asciiTheme="minorEastAsia" w:hAnsiTheme="minorEastAsia" w:eastAsiaTheme="minorEastAsia"/>
          <w:szCs w:val="24"/>
        </w:rPr>
      </w:pPr>
      <w:r>
        <w:rPr>
          <w:rFonts w:hint="eastAsia" w:asciiTheme="minorEastAsia" w:hAnsiTheme="minorEastAsia" w:eastAsiaTheme="minorEastAsia"/>
          <w:szCs w:val="24"/>
        </w:rPr>
        <w:t>开展基于卫星批产生产线仓储物流系统的数据融合和安全技术的研究：</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研究目标：</w:t>
      </w:r>
    </w:p>
    <w:p>
      <w:pPr>
        <w:pStyle w:val="10"/>
        <w:ind w:firstLine="480" w:firstLineChars="200"/>
      </w:pPr>
      <w:r>
        <w:rPr>
          <w:rFonts w:hint="eastAsia"/>
        </w:rPr>
        <w:t>仓储物流系统根据产能需求，为卫星生产线运行提供稳定的物料供应，以保证和支持产线稳定工作。由于该系统中数据采集多源化、类型具有多样性，且数据流动方向和路径复杂，低劣的数据融合和存储会造成数据应用偏差。因此需要研究基于卫星生产线的仓储物流系统数据融合和存储关键技术研究。通过仓储物流数据融合和安全技术聚焦人、传感器、存储设备、运输设备等节点的互联互通，打通存储、运输等环节的“数据孤岛”，构建大协作的仓储管理体系。系统在运行过程中会产生多种静态或动态数据，对这些数据进行预处理、融合和分析等，以专业化知识工具将技术转化为应用代码，确保仓储物流系统的安全、稳定运营。</w:t>
      </w:r>
    </w:p>
    <w:p>
      <w:pPr>
        <w:pStyle w:val="10"/>
        <w:numPr>
          <w:ilvl w:val="0"/>
          <w:numId w:val="2"/>
        </w:numPr>
        <w:snapToGrid/>
        <w:ind w:left="482" w:hanging="482"/>
        <w:rPr>
          <w:rFonts w:asciiTheme="minorEastAsia" w:hAnsiTheme="minorEastAsia" w:eastAsiaTheme="minorEastAsia"/>
          <w:szCs w:val="24"/>
        </w:rPr>
      </w:pPr>
      <w:r>
        <w:rPr>
          <w:rFonts w:hint="eastAsia" w:asciiTheme="minorEastAsia" w:hAnsiTheme="minorEastAsia" w:eastAsiaTheme="minorEastAsia"/>
          <w:szCs w:val="24"/>
        </w:rPr>
        <w:t>研究内容：</w:t>
      </w:r>
    </w:p>
    <w:p>
      <w:pPr>
        <w:ind w:firstLine="482"/>
        <w:rPr>
          <w:rFonts w:cs="Times New Roman"/>
        </w:rPr>
      </w:pPr>
      <w:r>
        <w:rPr>
          <w:rFonts w:hint="eastAsia" w:ascii="宋体" w:hAnsi="宋体" w:cs="宋体"/>
          <w:color w:val="333333"/>
          <w:szCs w:val="24"/>
          <w:shd w:val="clear" w:color="auto" w:fill="FFFFFF"/>
        </w:rPr>
        <w:t>（1）</w:t>
      </w:r>
      <w:r>
        <w:rPr>
          <w:rFonts w:hint="eastAsia" w:cs="Times New Roman"/>
        </w:rPr>
        <w:t>研究不同系统间的安全访问控制权限。实现仓储物流系统中系统接入时具有安全访问权限；</w:t>
      </w:r>
    </w:p>
    <w:p>
      <w:pPr>
        <w:ind w:firstLine="482"/>
        <w:rPr>
          <w:rFonts w:cs="Times New Roman"/>
        </w:rPr>
      </w:pPr>
      <w:r>
        <w:rPr>
          <w:rFonts w:hint="eastAsia" w:ascii="宋体" w:hAnsi="宋体" w:cs="宋体"/>
          <w:color w:val="333333"/>
          <w:szCs w:val="24"/>
          <w:shd w:val="clear" w:color="auto" w:fill="FFFFFF"/>
        </w:rPr>
        <w:t>（2）</w:t>
      </w:r>
      <w:r>
        <w:rPr>
          <w:rFonts w:hint="eastAsia" w:cs="Times New Roman"/>
        </w:rPr>
        <w:t>研究构建异构数据融合模型。传统仓储物流缺乏一种能完整规范数据处理的配置和模型，实现信息资源的聚集、优化和动态分配；实现复杂多源的数据融合和分析，保证数据格式统一；</w:t>
      </w:r>
    </w:p>
    <w:p>
      <w:pPr>
        <w:ind w:firstLine="482"/>
        <w:rPr>
          <w:rFonts w:cs="Times New Roman"/>
        </w:rPr>
      </w:pPr>
      <w:r>
        <w:rPr>
          <w:rFonts w:hint="eastAsia" w:ascii="宋体" w:hAnsi="宋体" w:cs="宋体"/>
          <w:color w:val="333333"/>
          <w:szCs w:val="24"/>
          <w:shd w:val="clear" w:color="auto" w:fill="FFFFFF"/>
        </w:rPr>
        <w:t>（3）</w:t>
      </w:r>
      <w:r>
        <w:rPr>
          <w:rFonts w:hint="eastAsia" w:cs="Times New Roman"/>
        </w:rPr>
        <w:t>研究数据安全存储策略，结合时间戳等技术，保障数据隐私，实现数据安全存储，确保数据不被篡改。</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技术指标：</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（1）实现仓储物流系统中系统接入时具有安全访问权限；</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（2）实现复杂多源的数据融合和分析，保证数据格式统一；</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（3）实现数据安全存储，确保数据不被篡改。</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研究成果：</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（1）数据安全访问、数据融合和数据安全存储策略和程序；</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（2）基于卫星生产线的仓储物流系统数据融合和安全技术研究报告1份；</w:t>
      </w:r>
    </w:p>
    <w:p>
      <w:pPr>
        <w:ind w:firstLine="482"/>
        <w:rPr>
          <w:rFonts w:ascii="宋体" w:hAnsi="宋体" w:cs="宋体"/>
          <w:color w:val="333333"/>
          <w:szCs w:val="24"/>
          <w:shd w:val="clear" w:color="auto" w:fill="FFFFFF"/>
        </w:rPr>
      </w:pPr>
      <w:r>
        <w:rPr>
          <w:rFonts w:hint="eastAsia" w:ascii="宋体" w:hAnsi="宋体" w:cs="宋体"/>
          <w:color w:val="333333"/>
          <w:szCs w:val="24"/>
          <w:shd w:val="clear" w:color="auto" w:fill="FFFFFF"/>
        </w:rPr>
        <w:t>（3）</w:t>
      </w:r>
      <w:r>
        <w:rPr>
          <w:rFonts w:ascii="宋体" w:hAnsi="宋体" w:cs="宋体"/>
          <w:color w:val="333333"/>
          <w:szCs w:val="24"/>
          <w:shd w:val="clear" w:color="auto" w:fill="FFFFFF"/>
        </w:rPr>
        <w:t>发表</w:t>
      </w:r>
      <w:r>
        <w:rPr>
          <w:rFonts w:hint="eastAsia" w:ascii="宋体" w:hAnsi="宋体" w:cs="宋体"/>
          <w:color w:val="333333"/>
          <w:szCs w:val="24"/>
          <w:shd w:val="clear" w:color="auto" w:fill="FFFFFF"/>
        </w:rPr>
        <w:t>国内外高水平期刊</w:t>
      </w:r>
      <w:r>
        <w:rPr>
          <w:rFonts w:ascii="宋体" w:hAnsi="宋体" w:cs="宋体"/>
          <w:color w:val="333333"/>
          <w:szCs w:val="24"/>
          <w:shd w:val="clear" w:color="auto" w:fill="FFFFFF"/>
        </w:rPr>
        <w:t>论文</w:t>
      </w:r>
      <w:r>
        <w:rPr>
          <w:rFonts w:hint="eastAsia" w:ascii="宋体" w:hAnsi="宋体" w:cs="宋体"/>
          <w:color w:val="333333"/>
          <w:szCs w:val="24"/>
          <w:shd w:val="clear" w:color="auto" w:fill="FFFFFF"/>
        </w:rPr>
        <w:t>不少于</w:t>
      </w:r>
      <w:r>
        <w:rPr>
          <w:rFonts w:ascii="宋体" w:hAnsi="宋体" w:cs="宋体"/>
          <w:color w:val="333333"/>
          <w:szCs w:val="24"/>
          <w:shd w:val="clear" w:color="auto" w:fill="FFFFFF"/>
        </w:rPr>
        <w:t>2篇</w:t>
      </w:r>
      <w:r>
        <w:rPr>
          <w:rFonts w:hint="eastAsia" w:ascii="宋体" w:hAnsi="宋体" w:cs="宋体"/>
          <w:color w:val="333333"/>
          <w:szCs w:val="24"/>
          <w:shd w:val="clear" w:color="auto" w:fill="FFFFFF"/>
        </w:rPr>
        <w:t>，申请发明专利不少于1项。</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 xml:space="preserve">研制周期：18个月。 </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资助金额：10万元。</w:t>
      </w:r>
    </w:p>
    <w:p>
      <w:pPr>
        <w:pStyle w:val="10"/>
        <w:numPr>
          <w:ilvl w:val="0"/>
          <w:numId w:val="2"/>
        </w:numPr>
        <w:ind w:left="482" w:hanging="482"/>
        <w:rPr>
          <w:rFonts w:asciiTheme="minorEastAsia" w:hAnsiTheme="minorEastAsia" w:eastAsiaTheme="minorEastAsia"/>
          <w:szCs w:val="24"/>
        </w:rPr>
      </w:pPr>
      <w:r>
        <w:rPr>
          <w:rFonts w:hint="eastAsia" w:asciiTheme="minorEastAsia" w:hAnsiTheme="minorEastAsia" w:eastAsiaTheme="minorEastAsia"/>
          <w:szCs w:val="24"/>
        </w:rPr>
        <w:t>技术咨询：王东，13302006105。</w:t>
      </w:r>
    </w:p>
    <w:p>
      <w:pPr>
        <w:pStyle w:val="10"/>
        <w:spacing w:before="120" w:beforeLines="50" w:after="120" w:afterLines="50"/>
        <w:ind w:firstLine="0"/>
        <w:rPr>
          <w:b/>
          <w:szCs w:val="24"/>
        </w:rPr>
      </w:pPr>
      <w:r>
        <w:rPr>
          <w:rFonts w:hint="eastAsia"/>
          <w:b/>
          <w:szCs w:val="24"/>
        </w:rPr>
        <w:t>（二）智能装备技术</w:t>
      </w:r>
    </w:p>
    <w:p>
      <w:pPr>
        <w:pStyle w:val="10"/>
        <w:snapToGrid/>
      </w:pPr>
      <w:r>
        <w:rPr>
          <w:rFonts w:hint="eastAsia"/>
        </w:rPr>
        <w:t>开展面向太阳翼对接的大承载、高精度调姿机构及算法的研究：</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研究目标：</w:t>
      </w:r>
    </w:p>
    <w:p>
      <w:pPr>
        <w:pStyle w:val="10"/>
        <w:snapToGrid/>
        <w:ind w:firstLine="480" w:firstLineChars="200"/>
      </w:pPr>
      <w:r>
        <w:rPr>
          <w:rFonts w:hint="eastAsia"/>
        </w:rPr>
        <w:t>航天器测试转台在航天器总装测试中被广泛应用。伴随着航天器总装测试工艺日趋复杂，对转台功能也提出了更高的要求。转台除满足航天器本体总装和测试的功能之外，越来越多的参与到太阳翼等外部有效载荷的安装工序中，这使得转台除需要传统功能外，还需具备高精度位姿微调能力；同时为提高总装、测试及对接效率，转台微调需具有自动化的能力。</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研究内容：</w:t>
      </w:r>
    </w:p>
    <w:p>
      <w:pPr>
        <w:pStyle w:val="16"/>
        <w:adjustRightInd w:val="0"/>
        <w:spacing w:line="300" w:lineRule="auto"/>
        <w:ind w:firstLine="482"/>
        <w:jc w:val="left"/>
        <w:rPr>
          <w:bCs w:val="0"/>
          <w:sz w:val="24"/>
          <w:szCs w:val="22"/>
        </w:rPr>
      </w:pPr>
      <w:r>
        <w:rPr>
          <w:rFonts w:hint="eastAsia" w:ascii="宋体" w:hAnsi="宋体" w:cs="宋体"/>
          <w:color w:val="333333"/>
          <w:sz w:val="24"/>
          <w:shd w:val="clear" w:color="auto" w:fill="FFFFFF"/>
        </w:rPr>
        <w:t>（1）</w:t>
      </w:r>
      <w:r>
        <w:rPr>
          <w:rFonts w:hint="eastAsia"/>
          <w:bCs w:val="0"/>
          <w:sz w:val="24"/>
          <w:szCs w:val="22"/>
        </w:rPr>
        <w:t>开展适用于转台的调姿机构设计并对该构型进行理论分析，主要包括调姿机构构型设计、运动学和动力学分析、工作空间分析、误差分析等；</w:t>
      </w:r>
      <w:r>
        <w:rPr>
          <w:bCs w:val="0"/>
          <w:sz w:val="24"/>
          <w:szCs w:val="22"/>
        </w:rPr>
        <w:t xml:space="preserve"> </w:t>
      </w:r>
    </w:p>
    <w:p>
      <w:pPr>
        <w:pStyle w:val="10"/>
        <w:snapToGrid/>
      </w:pPr>
      <w:r>
        <w:rPr>
          <w:rFonts w:hint="eastAsia" w:ascii="宋体" w:hAnsi="宋体" w:cs="宋体"/>
          <w:color w:val="333333"/>
          <w:szCs w:val="24"/>
          <w:shd w:val="clear" w:color="auto" w:fill="FFFFFF"/>
        </w:rPr>
        <w:t>（2）</w:t>
      </w:r>
      <w:r>
        <w:rPr>
          <w:rFonts w:hint="eastAsia"/>
        </w:rPr>
        <w:t>研究适用于工程的调姿机构控制算法设计，使调姿机构能够实现要求的调姿功能和精度指标，主要包括调姿控制算法设计、控制算法性能分析、仿真与实验等。</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技术指标：</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（1）提出一种适用于总重量</w:t>
      </w:r>
      <w:r>
        <w:rPr>
          <w:rFonts w:ascii="宋体" w:hAnsi="宋体" w:cs="宋体"/>
          <w:color w:val="333333"/>
          <w:sz w:val="24"/>
          <w:shd w:val="clear" w:color="auto" w:fill="FFFFFF"/>
        </w:rPr>
        <w:t>10t</w:t>
      </w:r>
      <w:r>
        <w:rPr>
          <w:rFonts w:hint="eastAsia" w:ascii="宋体" w:hAnsi="宋体" w:cs="宋体"/>
          <w:color w:val="333333"/>
          <w:sz w:val="24"/>
          <w:shd w:val="clear" w:color="auto" w:fill="FFFFFF"/>
        </w:rPr>
        <w:t>转台的</w:t>
      </w:r>
      <w:r>
        <w:rPr>
          <w:rFonts w:ascii="宋体" w:hAnsi="宋体" w:cs="宋体"/>
          <w:color w:val="333333"/>
          <w:sz w:val="24"/>
          <w:shd w:val="clear" w:color="auto" w:fill="FFFFFF"/>
        </w:rPr>
        <w:t>6</w:t>
      </w:r>
      <w:r>
        <w:rPr>
          <w:rFonts w:hint="eastAsia" w:ascii="宋体" w:hAnsi="宋体" w:cs="宋体"/>
          <w:color w:val="333333"/>
          <w:sz w:val="24"/>
          <w:shd w:val="clear" w:color="auto" w:fill="FFFFFF"/>
        </w:rPr>
        <w:t>自由度自动调姿机构，要求转台本体具有</w:t>
      </w:r>
      <w:r>
        <w:rPr>
          <w:rFonts w:ascii="宋体" w:hAnsi="宋体" w:cs="宋体"/>
          <w:color w:val="333333"/>
          <w:sz w:val="24"/>
          <w:shd w:val="clear" w:color="auto" w:fill="FFFFFF"/>
        </w:rPr>
        <w:t>X</w:t>
      </w:r>
      <w:r>
        <w:rPr>
          <w:rFonts w:hint="eastAsia" w:ascii="宋体" w:hAnsi="宋体" w:cs="宋体"/>
          <w:color w:val="333333"/>
          <w:sz w:val="24"/>
          <w:shd w:val="clear" w:color="auto" w:fill="FFFFFF"/>
        </w:rPr>
        <w:t>、</w:t>
      </w:r>
      <w:r>
        <w:rPr>
          <w:rFonts w:ascii="宋体" w:hAnsi="宋体" w:cs="宋体"/>
          <w:color w:val="333333"/>
          <w:sz w:val="24"/>
          <w:shd w:val="clear" w:color="auto" w:fill="FFFFFF"/>
        </w:rPr>
        <w:t>Y</w:t>
      </w:r>
      <w:r>
        <w:rPr>
          <w:rFonts w:hint="eastAsia" w:ascii="宋体" w:hAnsi="宋体" w:cs="宋体"/>
          <w:color w:val="333333"/>
          <w:sz w:val="24"/>
          <w:shd w:val="clear" w:color="auto" w:fill="FFFFFF"/>
        </w:rPr>
        <w:t>、</w:t>
      </w:r>
      <w:r>
        <w:rPr>
          <w:rFonts w:ascii="宋体" w:hAnsi="宋体" w:cs="宋体"/>
          <w:color w:val="333333"/>
          <w:sz w:val="24"/>
          <w:shd w:val="clear" w:color="auto" w:fill="FFFFFF"/>
        </w:rPr>
        <w:t>Z</w:t>
      </w:r>
      <w:r>
        <w:rPr>
          <w:rFonts w:hint="eastAsia" w:ascii="宋体" w:hAnsi="宋体" w:cs="宋体"/>
          <w:color w:val="333333"/>
          <w:sz w:val="24"/>
          <w:shd w:val="clear" w:color="auto" w:fill="FFFFFF"/>
        </w:rPr>
        <w:t>各项±</w:t>
      </w:r>
      <w:r>
        <w:rPr>
          <w:rFonts w:ascii="宋体" w:hAnsi="宋体" w:cs="宋体"/>
          <w:color w:val="333333"/>
          <w:sz w:val="24"/>
          <w:shd w:val="clear" w:color="auto" w:fill="FFFFFF"/>
        </w:rPr>
        <w:t>50m</w:t>
      </w:r>
      <w:r>
        <w:rPr>
          <w:rFonts w:hint="eastAsia" w:ascii="宋体" w:hAnsi="宋体" w:cs="宋体"/>
          <w:color w:val="333333"/>
          <w:sz w:val="24"/>
          <w:shd w:val="clear" w:color="auto" w:fill="FFFFFF"/>
        </w:rPr>
        <w:t>、</w:t>
      </w:r>
      <w:r>
        <w:rPr>
          <w:rFonts w:ascii="宋体" w:hAnsi="宋体" w:cs="宋体"/>
          <w:color w:val="333333"/>
          <w:sz w:val="24"/>
          <w:shd w:val="clear" w:color="auto" w:fill="FFFFFF"/>
        </w:rPr>
        <w:t>RX</w:t>
      </w:r>
      <w:r>
        <w:rPr>
          <w:rFonts w:hint="eastAsia" w:ascii="宋体" w:hAnsi="宋体" w:cs="宋体"/>
          <w:color w:val="333333"/>
          <w:sz w:val="24"/>
          <w:shd w:val="clear" w:color="auto" w:fill="FFFFFF"/>
        </w:rPr>
        <w:t>、</w:t>
      </w:r>
      <w:r>
        <w:rPr>
          <w:rFonts w:ascii="宋体" w:hAnsi="宋体" w:cs="宋体"/>
          <w:color w:val="333333"/>
          <w:sz w:val="24"/>
          <w:shd w:val="clear" w:color="auto" w:fill="FFFFFF"/>
        </w:rPr>
        <w:t>RY</w:t>
      </w:r>
      <w:r>
        <w:rPr>
          <w:rFonts w:hint="eastAsia" w:ascii="宋体" w:hAnsi="宋体" w:cs="宋体"/>
          <w:color w:val="333333"/>
          <w:sz w:val="24"/>
          <w:shd w:val="clear" w:color="auto" w:fill="FFFFFF"/>
        </w:rPr>
        <w:t>、</w:t>
      </w:r>
      <w:r>
        <w:rPr>
          <w:rFonts w:ascii="宋体" w:hAnsi="宋体" w:cs="宋体"/>
          <w:color w:val="333333"/>
          <w:sz w:val="24"/>
          <w:shd w:val="clear" w:color="auto" w:fill="FFFFFF"/>
        </w:rPr>
        <w:t>RZ</w:t>
      </w:r>
      <w:r>
        <w:rPr>
          <w:rFonts w:hint="eastAsia" w:ascii="宋体" w:hAnsi="宋体" w:cs="宋体"/>
          <w:color w:val="333333"/>
          <w:sz w:val="24"/>
          <w:shd w:val="clear" w:color="auto" w:fill="FFFFFF"/>
        </w:rPr>
        <w:t>各项±</w:t>
      </w:r>
      <w:r>
        <w:rPr>
          <w:rFonts w:ascii="宋体" w:hAnsi="宋体" w:cs="宋体"/>
          <w:color w:val="333333"/>
          <w:sz w:val="24"/>
          <w:shd w:val="clear" w:color="auto" w:fill="FFFFFF"/>
        </w:rPr>
        <w:t>5</w:t>
      </w:r>
      <w:r>
        <w:rPr>
          <w:rFonts w:hint="eastAsia" w:ascii="宋体" w:hAnsi="宋体" w:cs="宋体"/>
          <w:color w:val="333333"/>
          <w:sz w:val="24"/>
          <w:shd w:val="clear" w:color="auto" w:fill="FFFFFF"/>
        </w:rPr>
        <w:t>°的调姿范围，达到调姿精度</w:t>
      </w:r>
      <w:r>
        <w:rPr>
          <w:rFonts w:ascii="宋体" w:hAnsi="宋体" w:cs="宋体"/>
          <w:color w:val="333333"/>
          <w:sz w:val="24"/>
          <w:shd w:val="clear" w:color="auto" w:fill="FFFFFF"/>
        </w:rPr>
        <w:t>0.2mm/1000mm</w:t>
      </w:r>
      <w:r>
        <w:rPr>
          <w:rFonts w:hint="eastAsia" w:ascii="宋体" w:hAnsi="宋体" w:cs="宋体"/>
          <w:color w:val="333333"/>
          <w:sz w:val="24"/>
          <w:shd w:val="clear" w:color="auto" w:fill="FFFFFF"/>
        </w:rPr>
        <w:t>；</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（2）提出可实现调姿功能和精度的调姿算法，包含：运动控制算法和姿态测量算法。</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研究成果：</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（1）调姿机构构型分析报告，含构型设计、运动学分析等；</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（2）运动学、动力学仿真模型及研究报告，运动学、动力学模型建立及分析相关内容；</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（3）调姿控制算法研究报告；</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（4）调姿机构研究总结报告；</w:t>
      </w:r>
    </w:p>
    <w:p>
      <w:pPr>
        <w:pStyle w:val="16"/>
        <w:adjustRightInd w:val="0"/>
        <w:spacing w:line="300" w:lineRule="auto"/>
        <w:ind w:firstLine="482"/>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（5）</w:t>
      </w:r>
      <w:r>
        <w:rPr>
          <w:rFonts w:ascii="宋体" w:hAnsi="宋体" w:cs="宋体"/>
          <w:color w:val="333333"/>
          <w:sz w:val="24"/>
          <w:shd w:val="clear" w:color="auto" w:fill="FFFFFF"/>
        </w:rPr>
        <w:t>发表</w:t>
      </w:r>
      <w:r>
        <w:rPr>
          <w:rFonts w:hint="eastAsia" w:ascii="宋体" w:hAnsi="宋体" w:cs="宋体"/>
          <w:color w:val="333333"/>
          <w:sz w:val="24"/>
          <w:shd w:val="clear" w:color="auto" w:fill="FFFFFF"/>
        </w:rPr>
        <w:t>国内外高水平期刊</w:t>
      </w:r>
      <w:r>
        <w:rPr>
          <w:rFonts w:ascii="宋体" w:hAnsi="宋体" w:cs="宋体"/>
          <w:color w:val="333333"/>
          <w:sz w:val="24"/>
          <w:shd w:val="clear" w:color="auto" w:fill="FFFFFF"/>
        </w:rPr>
        <w:t>论文</w:t>
      </w:r>
      <w:r>
        <w:rPr>
          <w:rFonts w:hint="eastAsia" w:ascii="宋体" w:hAnsi="宋体" w:cs="宋体"/>
          <w:color w:val="333333"/>
          <w:sz w:val="24"/>
          <w:shd w:val="clear" w:color="auto" w:fill="FFFFFF"/>
        </w:rPr>
        <w:t>不少于</w:t>
      </w:r>
      <w:r>
        <w:rPr>
          <w:rFonts w:ascii="宋体" w:hAnsi="宋体" w:cs="宋体"/>
          <w:color w:val="333333"/>
          <w:sz w:val="24"/>
          <w:shd w:val="clear" w:color="auto" w:fill="FFFFFF"/>
        </w:rPr>
        <w:t>2篇</w:t>
      </w:r>
      <w:r>
        <w:rPr>
          <w:rFonts w:hint="eastAsia" w:ascii="宋体" w:hAnsi="宋体" w:cs="宋体"/>
          <w:color w:val="333333"/>
          <w:sz w:val="24"/>
          <w:shd w:val="clear" w:color="auto" w:fill="FFFFFF"/>
        </w:rPr>
        <w:t>，申请发明专利不少于1项。</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 xml:space="preserve">研制周期：18个月。 </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资助金额：15万元。</w:t>
      </w:r>
    </w:p>
    <w:p>
      <w:pPr>
        <w:pStyle w:val="10"/>
        <w:numPr>
          <w:ilvl w:val="0"/>
          <w:numId w:val="3"/>
        </w:numPr>
        <w:snapToGrid/>
        <w:rPr>
          <w:rFonts w:asciiTheme="minorEastAsia" w:hAnsiTheme="minorEastAsia" w:eastAsiaTheme="minorEastAsia"/>
          <w:szCs w:val="24"/>
        </w:rPr>
      </w:pPr>
      <w:r>
        <w:rPr>
          <w:rFonts w:hint="eastAsia" w:asciiTheme="minorEastAsia" w:hAnsiTheme="minorEastAsia" w:eastAsiaTheme="minorEastAsia"/>
          <w:szCs w:val="24"/>
        </w:rPr>
        <w:t>技术咨询：王东，13302006105。</w:t>
      </w:r>
    </w:p>
    <w:p>
      <w:pPr>
        <w:pStyle w:val="10"/>
        <w:ind w:left="420" w:firstLine="0"/>
        <w:rPr>
          <w:rFonts w:asciiTheme="minorEastAsia" w:hAnsiTheme="minorEastAsia" w:eastAsiaTheme="minorEastAsia"/>
          <w:szCs w:val="24"/>
        </w:rPr>
      </w:pPr>
    </w:p>
    <w:p>
      <w:pPr>
        <w:pStyle w:val="10"/>
        <w:spacing w:before="120" w:beforeLines="50" w:after="120" w:afterLines="50"/>
        <w:ind w:firstLine="0"/>
        <w:rPr>
          <w:b/>
          <w:szCs w:val="24"/>
        </w:rPr>
      </w:pPr>
      <w:r>
        <w:rPr>
          <w:rFonts w:hint="eastAsia"/>
          <w:b/>
          <w:szCs w:val="24"/>
        </w:rPr>
        <w:t>（三）智能移动平台关键技术</w:t>
      </w:r>
    </w:p>
    <w:p>
      <w:pPr>
        <w:pStyle w:val="10"/>
        <w:ind w:firstLine="300" w:firstLineChars="150"/>
      </w:pPr>
      <w:r>
        <w:rPr>
          <w:rFonts w:hint="eastAsia"/>
          <w:sz w:val="20"/>
          <w:szCs w:val="20"/>
        </w:rPr>
        <w:t xml:space="preserve"> </w:t>
      </w:r>
      <w:r>
        <w:rPr>
          <w:rFonts w:hint="eastAsia"/>
        </w:rPr>
        <w:t>开展基于重载AGV的悬挂设计方法及控制算法研究：</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研究目标：</w:t>
      </w:r>
    </w:p>
    <w:p>
      <w:pPr>
        <w:pStyle w:val="10"/>
      </w:pPr>
      <w:r>
        <w:rPr>
          <w:rFonts w:hint="eastAsia"/>
        </w:rPr>
        <w:t>瞄准航空航天、轨道交通等国家重点领域对重型转运平台的市场需求，以及特殊环境下对智能化无人作业平台的需求，开展面向重载主被动悬挂、智能无人平台设计等核心技术的研究工作，提升和开拓在智能移动平台的技术水平和应用领域。</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研究内容：</w:t>
      </w:r>
    </w:p>
    <w:p>
      <w:pPr>
        <w:pStyle w:val="10"/>
        <w:tabs>
          <w:tab w:val="left" w:pos="317"/>
        </w:tabs>
        <w:adjustRightInd w:val="0"/>
        <w:snapToGrid/>
      </w:pPr>
      <w:r>
        <w:rPr>
          <w:rFonts w:hint="eastAsia" w:ascii="宋体" w:hAnsi="宋体" w:cs="宋体"/>
          <w:color w:val="333333"/>
          <w:szCs w:val="24"/>
          <w:shd w:val="clear" w:color="auto" w:fill="FFFFFF"/>
        </w:rPr>
        <w:t>（1）</w:t>
      </w:r>
      <w:r>
        <w:rPr>
          <w:rFonts w:hint="eastAsia"/>
        </w:rPr>
        <w:t>面向转运火箭箭体等超长、超重机不规则重心部件时，解决重载</w:t>
      </w:r>
      <w:r>
        <w:t>AGV</w:t>
      </w:r>
      <w:r>
        <w:rPr>
          <w:rFonts w:hint="eastAsia"/>
        </w:rPr>
        <w:t>单车或者多车联合作业运输，在面对复杂路况、不规则重心负载时快速安全运输问题。研究路面</w:t>
      </w:r>
      <w:r>
        <w:t>-</w:t>
      </w:r>
      <w:r>
        <w:rPr>
          <w:rFonts w:hint="eastAsia"/>
        </w:rPr>
        <w:t>承载轮系</w:t>
      </w:r>
      <w:r>
        <w:t>-</w:t>
      </w:r>
      <w:r>
        <w:rPr>
          <w:rFonts w:hint="eastAsia"/>
        </w:rPr>
        <w:t>负载平台不同支撑模式下车体底盘和悬挂的动力学行为；</w:t>
      </w:r>
    </w:p>
    <w:p>
      <w:pPr>
        <w:pStyle w:val="10"/>
        <w:tabs>
          <w:tab w:val="left" w:pos="317"/>
        </w:tabs>
        <w:adjustRightInd w:val="0"/>
        <w:snapToGrid/>
      </w:pPr>
      <w:r>
        <w:rPr>
          <w:rFonts w:hint="eastAsia" w:ascii="宋体" w:hAnsi="宋体" w:cs="宋体"/>
          <w:color w:val="333333"/>
          <w:szCs w:val="24"/>
          <w:shd w:val="clear" w:color="auto" w:fill="FFFFFF"/>
        </w:rPr>
        <w:t>（2）</w:t>
      </w:r>
      <w:r>
        <w:rPr>
          <w:rFonts w:hint="eastAsia"/>
        </w:rPr>
        <w:t>超长、超宽部件运输时，多车联合作业时的受力分布模式，研究在启动加速度、制动加速度以及转向加速度下车辆以及负载质心变化规律，建立普适性模型；</w:t>
      </w:r>
    </w:p>
    <w:p>
      <w:pPr>
        <w:pStyle w:val="10"/>
        <w:snapToGrid/>
      </w:pPr>
      <w:r>
        <w:rPr>
          <w:rFonts w:hint="eastAsia" w:ascii="宋体" w:hAnsi="宋体" w:cs="宋体"/>
          <w:color w:val="333333"/>
          <w:szCs w:val="24"/>
          <w:shd w:val="clear" w:color="auto" w:fill="FFFFFF"/>
        </w:rPr>
        <w:t>（3）</w:t>
      </w:r>
      <w:r>
        <w:rPr>
          <w:rFonts w:hint="eastAsia"/>
        </w:rPr>
        <w:t>针对不同路面、不同并车模式、不同支撑模式以及不同路面与车速下的悬挂受力情况，利用负载敏感系统完成支撑力和载荷调整，并基于此，研发主动防倾覆策略。</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技术指标：</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（1）提出面向重载</w:t>
      </w:r>
      <w:r>
        <w:rPr>
          <w:rFonts w:ascii="宋体" w:hAnsi="宋体" w:cs="宋体"/>
          <w:color w:val="333333"/>
          <w:szCs w:val="24"/>
          <w:shd w:val="clear" w:color="auto" w:fill="FFFFFF"/>
        </w:rPr>
        <w:t>AGV</w:t>
      </w:r>
      <w:r>
        <w:rPr>
          <w:rFonts w:hint="eastAsia" w:ascii="宋体" w:hAnsi="宋体" w:cs="宋体"/>
          <w:color w:val="333333"/>
          <w:szCs w:val="24"/>
          <w:shd w:val="clear" w:color="auto" w:fill="FFFFFF"/>
        </w:rPr>
        <w:t>的悬挂设计方法及主动防倾覆设计；</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（2）形成可用于指导样机制造的三维模型及控制算法。</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研究成果：</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（1）重载</w:t>
      </w:r>
      <w:r>
        <w:rPr>
          <w:rFonts w:ascii="宋体" w:hAnsi="宋体" w:cs="宋体"/>
          <w:color w:val="333333"/>
          <w:szCs w:val="24"/>
          <w:shd w:val="clear" w:color="auto" w:fill="FFFFFF"/>
        </w:rPr>
        <w:t>AGV</w:t>
      </w:r>
      <w:r>
        <w:rPr>
          <w:rFonts w:hint="eastAsia" w:ascii="宋体" w:hAnsi="宋体" w:cs="宋体"/>
          <w:color w:val="333333"/>
          <w:szCs w:val="24"/>
          <w:shd w:val="clear" w:color="auto" w:fill="FFFFFF"/>
        </w:rPr>
        <w:t>悬挂模型；</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（2）重载</w:t>
      </w:r>
      <w:r>
        <w:rPr>
          <w:rFonts w:ascii="宋体" w:hAnsi="宋体" w:cs="宋体"/>
          <w:color w:val="333333"/>
          <w:szCs w:val="24"/>
          <w:shd w:val="clear" w:color="auto" w:fill="FFFFFF"/>
        </w:rPr>
        <w:t>AGV</w:t>
      </w:r>
      <w:r>
        <w:rPr>
          <w:rFonts w:hint="eastAsia" w:ascii="宋体" w:hAnsi="宋体" w:cs="宋体"/>
          <w:color w:val="333333"/>
          <w:szCs w:val="24"/>
          <w:shd w:val="clear" w:color="auto" w:fill="FFFFFF"/>
        </w:rPr>
        <w:t>悬挂动力学模型及分析报告；</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（3）重载</w:t>
      </w:r>
      <w:r>
        <w:rPr>
          <w:rFonts w:ascii="宋体" w:hAnsi="宋体" w:cs="宋体"/>
          <w:color w:val="333333"/>
          <w:szCs w:val="24"/>
          <w:shd w:val="clear" w:color="auto" w:fill="FFFFFF"/>
        </w:rPr>
        <w:t>AGV</w:t>
      </w:r>
      <w:r>
        <w:rPr>
          <w:rFonts w:hint="eastAsia" w:ascii="宋体" w:hAnsi="宋体" w:cs="宋体"/>
          <w:color w:val="333333"/>
          <w:szCs w:val="24"/>
          <w:shd w:val="clear" w:color="auto" w:fill="FFFFFF"/>
        </w:rPr>
        <w:t>防倾覆设计方法及悬挂控制算法；</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（4）重载</w:t>
      </w:r>
      <w:r>
        <w:rPr>
          <w:rFonts w:ascii="宋体" w:hAnsi="宋体" w:cs="宋体"/>
          <w:color w:val="333333"/>
          <w:szCs w:val="24"/>
          <w:shd w:val="clear" w:color="auto" w:fill="FFFFFF"/>
        </w:rPr>
        <w:t>AGV</w:t>
      </w:r>
      <w:r>
        <w:rPr>
          <w:rFonts w:hint="eastAsia" w:ascii="宋体" w:hAnsi="宋体" w:cs="宋体"/>
          <w:color w:val="333333"/>
          <w:szCs w:val="24"/>
          <w:shd w:val="clear" w:color="auto" w:fill="FFFFFF"/>
        </w:rPr>
        <w:t>悬挂形成技术研究报告；</w:t>
      </w:r>
    </w:p>
    <w:p>
      <w:pPr>
        <w:pStyle w:val="10"/>
        <w:tabs>
          <w:tab w:val="left" w:pos="317"/>
        </w:tabs>
        <w:adjustRightInd w:val="0"/>
        <w:snapToGrid/>
        <w:rPr>
          <w:rFonts w:ascii="宋体" w:hAnsi="宋体" w:cs="宋体"/>
          <w:color w:val="333333"/>
          <w:szCs w:val="24"/>
          <w:shd w:val="clear" w:color="auto" w:fill="FFFFFF"/>
        </w:rPr>
      </w:pPr>
      <w:r>
        <w:rPr>
          <w:rFonts w:hint="eastAsia" w:ascii="宋体" w:hAnsi="宋体" w:cs="宋体"/>
          <w:color w:val="333333"/>
          <w:szCs w:val="24"/>
          <w:shd w:val="clear" w:color="auto" w:fill="FFFFFF"/>
        </w:rPr>
        <w:t>（5）</w:t>
      </w:r>
      <w:r>
        <w:rPr>
          <w:rFonts w:ascii="宋体" w:hAnsi="宋体" w:cs="宋体"/>
          <w:color w:val="333333"/>
          <w:szCs w:val="24"/>
          <w:shd w:val="clear" w:color="auto" w:fill="FFFFFF"/>
        </w:rPr>
        <w:t>发表</w:t>
      </w:r>
      <w:r>
        <w:rPr>
          <w:rFonts w:hint="eastAsia" w:ascii="宋体" w:hAnsi="宋体" w:cs="宋体"/>
          <w:color w:val="333333"/>
          <w:szCs w:val="24"/>
          <w:shd w:val="clear" w:color="auto" w:fill="FFFFFF"/>
        </w:rPr>
        <w:t>国内外高水平期刊</w:t>
      </w:r>
      <w:r>
        <w:rPr>
          <w:rFonts w:ascii="宋体" w:hAnsi="宋体" w:cs="宋体"/>
          <w:color w:val="333333"/>
          <w:szCs w:val="24"/>
          <w:shd w:val="clear" w:color="auto" w:fill="FFFFFF"/>
        </w:rPr>
        <w:t>论文</w:t>
      </w:r>
      <w:r>
        <w:rPr>
          <w:rFonts w:hint="eastAsia" w:ascii="宋体" w:hAnsi="宋体" w:cs="宋体"/>
          <w:color w:val="333333"/>
          <w:szCs w:val="24"/>
          <w:shd w:val="clear" w:color="auto" w:fill="FFFFFF"/>
        </w:rPr>
        <w:t>不少于</w:t>
      </w:r>
      <w:r>
        <w:rPr>
          <w:rFonts w:ascii="宋体" w:hAnsi="宋体" w:cs="宋体"/>
          <w:color w:val="333333"/>
          <w:szCs w:val="24"/>
          <w:shd w:val="clear" w:color="auto" w:fill="FFFFFF"/>
        </w:rPr>
        <w:t>2篇</w:t>
      </w:r>
      <w:r>
        <w:rPr>
          <w:rFonts w:hint="eastAsia" w:ascii="宋体" w:hAnsi="宋体" w:cs="宋体"/>
          <w:color w:val="333333"/>
          <w:szCs w:val="24"/>
          <w:shd w:val="clear" w:color="auto" w:fill="FFFFFF"/>
        </w:rPr>
        <w:t>，申请发明专利不少于1项。</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研制周期：18个月。</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资助金额：15万元。</w:t>
      </w:r>
    </w:p>
    <w:p>
      <w:pPr>
        <w:pStyle w:val="10"/>
        <w:numPr>
          <w:ilvl w:val="0"/>
          <w:numId w:val="4"/>
        </w:numPr>
        <w:rPr>
          <w:rFonts w:asciiTheme="minorEastAsia" w:hAnsiTheme="minorEastAsia" w:eastAsiaTheme="minorEastAsia"/>
          <w:szCs w:val="24"/>
        </w:rPr>
      </w:pPr>
      <w:r>
        <w:rPr>
          <w:rFonts w:hint="eastAsia" w:asciiTheme="minorEastAsia" w:hAnsiTheme="minorEastAsia" w:eastAsiaTheme="minorEastAsia"/>
          <w:szCs w:val="24"/>
        </w:rPr>
        <w:t>技术咨询：王东，13302006105。</w:t>
      </w:r>
    </w:p>
    <w:p>
      <w:pPr>
        <w:pStyle w:val="12"/>
        <w:spacing w:before="120" w:after="120"/>
      </w:pPr>
      <w:bookmarkStart w:id="0" w:name="_GoBack"/>
      <w:bookmarkEnd w:id="0"/>
    </w:p>
    <w:sectPr>
      <w:pgSz w:w="11906" w:h="16838"/>
      <w:pgMar w:top="1440" w:right="1800" w:bottom="1440" w:left="180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04B"/>
    <w:multiLevelType w:val="multilevel"/>
    <w:tmpl w:val="0325404B"/>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1FCC0E9B"/>
    <w:multiLevelType w:val="multilevel"/>
    <w:tmpl w:val="1FCC0E9B"/>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6D470117"/>
    <w:multiLevelType w:val="multilevel"/>
    <w:tmpl w:val="6D4701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4F1215"/>
    <w:multiLevelType w:val="multilevel"/>
    <w:tmpl w:val="764F12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70"/>
    <w:rsid w:val="000123B8"/>
    <w:rsid w:val="00022B47"/>
    <w:rsid w:val="00033A80"/>
    <w:rsid w:val="0005126F"/>
    <w:rsid w:val="000605A9"/>
    <w:rsid w:val="0007019B"/>
    <w:rsid w:val="000955B3"/>
    <w:rsid w:val="000C552A"/>
    <w:rsid w:val="000E2E34"/>
    <w:rsid w:val="000F26F2"/>
    <w:rsid w:val="000F2CAF"/>
    <w:rsid w:val="000F5536"/>
    <w:rsid w:val="00102454"/>
    <w:rsid w:val="0011136C"/>
    <w:rsid w:val="00113E8E"/>
    <w:rsid w:val="00140CF9"/>
    <w:rsid w:val="00146B9E"/>
    <w:rsid w:val="001531BD"/>
    <w:rsid w:val="001619C9"/>
    <w:rsid w:val="001C04F3"/>
    <w:rsid w:val="001C6583"/>
    <w:rsid w:val="001C7823"/>
    <w:rsid w:val="001D424F"/>
    <w:rsid w:val="001E4006"/>
    <w:rsid w:val="001F45D8"/>
    <w:rsid w:val="00207BD3"/>
    <w:rsid w:val="00215C24"/>
    <w:rsid w:val="00222285"/>
    <w:rsid w:val="00234191"/>
    <w:rsid w:val="0026309A"/>
    <w:rsid w:val="00264580"/>
    <w:rsid w:val="0027172F"/>
    <w:rsid w:val="00271A3D"/>
    <w:rsid w:val="0027228A"/>
    <w:rsid w:val="00281756"/>
    <w:rsid w:val="00282ADE"/>
    <w:rsid w:val="002859F0"/>
    <w:rsid w:val="002A0390"/>
    <w:rsid w:val="002D211C"/>
    <w:rsid w:val="002D4AE9"/>
    <w:rsid w:val="002D6258"/>
    <w:rsid w:val="002E3C54"/>
    <w:rsid w:val="002F0F3C"/>
    <w:rsid w:val="002F15D4"/>
    <w:rsid w:val="00311DFA"/>
    <w:rsid w:val="00317479"/>
    <w:rsid w:val="00317BB6"/>
    <w:rsid w:val="0034291C"/>
    <w:rsid w:val="00356727"/>
    <w:rsid w:val="00366137"/>
    <w:rsid w:val="00366AC0"/>
    <w:rsid w:val="00371AF5"/>
    <w:rsid w:val="00372E27"/>
    <w:rsid w:val="00375A7C"/>
    <w:rsid w:val="003818CA"/>
    <w:rsid w:val="0038445C"/>
    <w:rsid w:val="00384911"/>
    <w:rsid w:val="00390513"/>
    <w:rsid w:val="003A53DF"/>
    <w:rsid w:val="003F0BF2"/>
    <w:rsid w:val="003F40F5"/>
    <w:rsid w:val="00400A46"/>
    <w:rsid w:val="004015EC"/>
    <w:rsid w:val="00403789"/>
    <w:rsid w:val="004069A0"/>
    <w:rsid w:val="0041694E"/>
    <w:rsid w:val="00425CD8"/>
    <w:rsid w:val="00427F7F"/>
    <w:rsid w:val="00444FA4"/>
    <w:rsid w:val="00462298"/>
    <w:rsid w:val="00463303"/>
    <w:rsid w:val="00485CEB"/>
    <w:rsid w:val="00495285"/>
    <w:rsid w:val="004A4913"/>
    <w:rsid w:val="004E6A3C"/>
    <w:rsid w:val="004F21AE"/>
    <w:rsid w:val="004F55B6"/>
    <w:rsid w:val="00502A8F"/>
    <w:rsid w:val="00520237"/>
    <w:rsid w:val="00523F2A"/>
    <w:rsid w:val="005408E3"/>
    <w:rsid w:val="00557503"/>
    <w:rsid w:val="0056690D"/>
    <w:rsid w:val="0057387D"/>
    <w:rsid w:val="005933F8"/>
    <w:rsid w:val="005950A7"/>
    <w:rsid w:val="005A514F"/>
    <w:rsid w:val="005B39C9"/>
    <w:rsid w:val="005D0B04"/>
    <w:rsid w:val="005D1ED9"/>
    <w:rsid w:val="005D7AD4"/>
    <w:rsid w:val="005E5CC5"/>
    <w:rsid w:val="005F7D89"/>
    <w:rsid w:val="00622D1F"/>
    <w:rsid w:val="006243D4"/>
    <w:rsid w:val="00632A9E"/>
    <w:rsid w:val="00635EFD"/>
    <w:rsid w:val="006532E3"/>
    <w:rsid w:val="00662192"/>
    <w:rsid w:val="00680301"/>
    <w:rsid w:val="00693AC6"/>
    <w:rsid w:val="006A2A09"/>
    <w:rsid w:val="006A3BEA"/>
    <w:rsid w:val="006A5543"/>
    <w:rsid w:val="006C17EB"/>
    <w:rsid w:val="006C1821"/>
    <w:rsid w:val="0070316B"/>
    <w:rsid w:val="00704621"/>
    <w:rsid w:val="007055D2"/>
    <w:rsid w:val="00711013"/>
    <w:rsid w:val="00711FD4"/>
    <w:rsid w:val="007236C9"/>
    <w:rsid w:val="00761027"/>
    <w:rsid w:val="00770BBE"/>
    <w:rsid w:val="00775F24"/>
    <w:rsid w:val="00777F69"/>
    <w:rsid w:val="00791139"/>
    <w:rsid w:val="0079606C"/>
    <w:rsid w:val="00796866"/>
    <w:rsid w:val="00802DB9"/>
    <w:rsid w:val="00803552"/>
    <w:rsid w:val="0081461D"/>
    <w:rsid w:val="00821518"/>
    <w:rsid w:val="00840213"/>
    <w:rsid w:val="0084405D"/>
    <w:rsid w:val="0085566A"/>
    <w:rsid w:val="008A6753"/>
    <w:rsid w:val="008B64EF"/>
    <w:rsid w:val="008C1378"/>
    <w:rsid w:val="008D006D"/>
    <w:rsid w:val="008D5D85"/>
    <w:rsid w:val="008E13B2"/>
    <w:rsid w:val="008F0121"/>
    <w:rsid w:val="008F77AD"/>
    <w:rsid w:val="008F7ED7"/>
    <w:rsid w:val="00900572"/>
    <w:rsid w:val="009144EE"/>
    <w:rsid w:val="0092014F"/>
    <w:rsid w:val="00924EF5"/>
    <w:rsid w:val="00930946"/>
    <w:rsid w:val="0095482B"/>
    <w:rsid w:val="00971036"/>
    <w:rsid w:val="0097110D"/>
    <w:rsid w:val="00976E42"/>
    <w:rsid w:val="00980FD4"/>
    <w:rsid w:val="009815B5"/>
    <w:rsid w:val="00986344"/>
    <w:rsid w:val="0099241B"/>
    <w:rsid w:val="009927DB"/>
    <w:rsid w:val="00994802"/>
    <w:rsid w:val="009B416A"/>
    <w:rsid w:val="009B44D8"/>
    <w:rsid w:val="009C2F81"/>
    <w:rsid w:val="009C40D5"/>
    <w:rsid w:val="009C5A85"/>
    <w:rsid w:val="009C5CA3"/>
    <w:rsid w:val="00A03C0A"/>
    <w:rsid w:val="00A04A36"/>
    <w:rsid w:val="00A11770"/>
    <w:rsid w:val="00A24502"/>
    <w:rsid w:val="00A5640E"/>
    <w:rsid w:val="00AB4776"/>
    <w:rsid w:val="00AB63F9"/>
    <w:rsid w:val="00AB64BE"/>
    <w:rsid w:val="00AB7943"/>
    <w:rsid w:val="00AC27C1"/>
    <w:rsid w:val="00AC4C4F"/>
    <w:rsid w:val="00AE4895"/>
    <w:rsid w:val="00AE65DF"/>
    <w:rsid w:val="00B00E50"/>
    <w:rsid w:val="00B11A87"/>
    <w:rsid w:val="00B45F42"/>
    <w:rsid w:val="00B700EF"/>
    <w:rsid w:val="00B90094"/>
    <w:rsid w:val="00BB3C16"/>
    <w:rsid w:val="00BC32DA"/>
    <w:rsid w:val="00BD6451"/>
    <w:rsid w:val="00BF144A"/>
    <w:rsid w:val="00BF2F9E"/>
    <w:rsid w:val="00BF74FB"/>
    <w:rsid w:val="00C001A3"/>
    <w:rsid w:val="00C05434"/>
    <w:rsid w:val="00C26970"/>
    <w:rsid w:val="00C26A83"/>
    <w:rsid w:val="00C3129E"/>
    <w:rsid w:val="00C54E13"/>
    <w:rsid w:val="00C638DB"/>
    <w:rsid w:val="00C7318E"/>
    <w:rsid w:val="00C97152"/>
    <w:rsid w:val="00C97751"/>
    <w:rsid w:val="00D247E9"/>
    <w:rsid w:val="00D60828"/>
    <w:rsid w:val="00D64B11"/>
    <w:rsid w:val="00D67220"/>
    <w:rsid w:val="00D728B5"/>
    <w:rsid w:val="00D83657"/>
    <w:rsid w:val="00D907A7"/>
    <w:rsid w:val="00DA7236"/>
    <w:rsid w:val="00DC1E6F"/>
    <w:rsid w:val="00DD23EA"/>
    <w:rsid w:val="00DF22A8"/>
    <w:rsid w:val="00DF2DA4"/>
    <w:rsid w:val="00DF7229"/>
    <w:rsid w:val="00E10ABC"/>
    <w:rsid w:val="00E25031"/>
    <w:rsid w:val="00E2644A"/>
    <w:rsid w:val="00E26DA8"/>
    <w:rsid w:val="00E30580"/>
    <w:rsid w:val="00E7048D"/>
    <w:rsid w:val="00E71667"/>
    <w:rsid w:val="00E77992"/>
    <w:rsid w:val="00E924E9"/>
    <w:rsid w:val="00EA7AEC"/>
    <w:rsid w:val="00EF2882"/>
    <w:rsid w:val="00F14B2C"/>
    <w:rsid w:val="00F2575E"/>
    <w:rsid w:val="00F44AB9"/>
    <w:rsid w:val="00F52B9D"/>
    <w:rsid w:val="00F613BE"/>
    <w:rsid w:val="00F64081"/>
    <w:rsid w:val="00F70C20"/>
    <w:rsid w:val="00F81479"/>
    <w:rsid w:val="00F82AC8"/>
    <w:rsid w:val="00FA655E"/>
    <w:rsid w:val="00FA7D5C"/>
    <w:rsid w:val="00FC1E3D"/>
    <w:rsid w:val="00FF01B5"/>
    <w:rsid w:val="051912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jc w:val="both"/>
    </w:pPr>
    <w:rPr>
      <w:rFonts w:ascii="Times New Roman" w:hAnsi="Times New Roman"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21"/>
    <w:semiHidden/>
    <w:unhideWhenUsed/>
    <w:uiPriority w:val="99"/>
    <w:rPr>
      <w:rFonts w:ascii="宋体"/>
      <w:sz w:val="18"/>
      <w:szCs w:val="18"/>
    </w:rPr>
  </w:style>
  <w:style w:type="paragraph" w:styleId="3">
    <w:name w:val="Balloon Text"/>
    <w:basedOn w:val="1"/>
    <w:link w:val="23"/>
    <w:semiHidden/>
    <w:unhideWhenUsed/>
    <w:uiPriority w:val="99"/>
    <w:pPr>
      <w:widowControl w:val="0"/>
      <w:spacing w:line="240" w:lineRule="auto"/>
    </w:pPr>
    <w:rPr>
      <w:rFonts w:asciiTheme="minorHAnsi" w:hAnsiTheme="minorHAnsi" w:eastAsiaTheme="minorEastAsia"/>
      <w:sz w:val="18"/>
      <w:szCs w:val="18"/>
    </w:rPr>
  </w:style>
  <w:style w:type="paragraph" w:styleId="4">
    <w:name w:val="footer"/>
    <w:basedOn w:val="1"/>
    <w:link w:val="20"/>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14:textFill>
        <w14:solidFill>
          <w14:schemeClr w14:val="hlink"/>
        </w14:solidFill>
      </w14:textFill>
    </w:rPr>
  </w:style>
  <w:style w:type="paragraph" w:customStyle="1" w:styleId="10">
    <w:name w:val="4_正文"/>
    <w:basedOn w:val="1"/>
    <w:qFormat/>
    <w:uiPriority w:val="0"/>
    <w:pPr>
      <w:widowControl w:val="0"/>
      <w:snapToGrid w:val="0"/>
      <w:ind w:firstLine="482"/>
    </w:pPr>
    <w:rPr>
      <w:rFonts w:cs="Times New Roman"/>
    </w:rPr>
  </w:style>
  <w:style w:type="paragraph" w:customStyle="1" w:styleId="11">
    <w:name w:val="0_题目"/>
    <w:basedOn w:val="10"/>
    <w:next w:val="10"/>
    <w:qFormat/>
    <w:uiPriority w:val="0"/>
    <w:pPr>
      <w:spacing w:beforeLines="150" w:afterLines="150"/>
      <w:ind w:firstLine="0"/>
      <w:jc w:val="center"/>
    </w:pPr>
    <w:rPr>
      <w:b/>
      <w:sz w:val="32"/>
    </w:rPr>
  </w:style>
  <w:style w:type="paragraph" w:customStyle="1" w:styleId="12">
    <w:name w:val="1_一级标题"/>
    <w:basedOn w:val="10"/>
    <w:next w:val="10"/>
    <w:qFormat/>
    <w:uiPriority w:val="0"/>
    <w:pPr>
      <w:spacing w:beforeLines="50" w:afterLines="50"/>
      <w:ind w:firstLine="0"/>
      <w:outlineLvl w:val="0"/>
    </w:pPr>
    <w:rPr>
      <w:sz w:val="30"/>
    </w:rPr>
  </w:style>
  <w:style w:type="paragraph" w:customStyle="1" w:styleId="13">
    <w:name w:val="2_二级标题"/>
    <w:basedOn w:val="10"/>
    <w:next w:val="10"/>
    <w:qFormat/>
    <w:uiPriority w:val="0"/>
    <w:pPr>
      <w:spacing w:beforeLines="50" w:afterLines="50"/>
      <w:ind w:firstLine="0"/>
      <w:outlineLvl w:val="1"/>
    </w:pPr>
    <w:rPr>
      <w:sz w:val="28"/>
    </w:rPr>
  </w:style>
  <w:style w:type="paragraph" w:customStyle="1" w:styleId="14">
    <w:name w:val="3_三级标题"/>
    <w:basedOn w:val="10"/>
    <w:next w:val="10"/>
    <w:qFormat/>
    <w:uiPriority w:val="0"/>
    <w:pPr>
      <w:ind w:firstLine="0"/>
      <w:outlineLvl w:val="2"/>
    </w:pPr>
  </w:style>
  <w:style w:type="paragraph" w:customStyle="1" w:styleId="15">
    <w:name w:val="5_图题"/>
    <w:basedOn w:val="10"/>
    <w:next w:val="10"/>
    <w:qFormat/>
    <w:uiPriority w:val="0"/>
    <w:pPr>
      <w:spacing w:afterLines="50"/>
      <w:jc w:val="center"/>
    </w:pPr>
    <w:rPr>
      <w:sz w:val="21"/>
    </w:rPr>
  </w:style>
  <w:style w:type="paragraph" w:customStyle="1" w:styleId="16">
    <w:name w:val="501表内图内字体"/>
    <w:basedOn w:val="1"/>
    <w:link w:val="17"/>
    <w:qFormat/>
    <w:uiPriority w:val="0"/>
    <w:pPr>
      <w:widowControl w:val="0"/>
      <w:spacing w:line="312" w:lineRule="auto"/>
      <w:jc w:val="center"/>
    </w:pPr>
    <w:rPr>
      <w:rFonts w:cs="Times New Roman"/>
      <w:bCs/>
      <w:sz w:val="21"/>
      <w:szCs w:val="24"/>
    </w:rPr>
  </w:style>
  <w:style w:type="character" w:customStyle="1" w:styleId="17">
    <w:name w:val="501表内图内字体 Char"/>
    <w:link w:val="16"/>
    <w:uiPriority w:val="0"/>
    <w:rPr>
      <w:rFonts w:cs="Times New Roman"/>
      <w:bCs/>
      <w:sz w:val="21"/>
      <w:szCs w:val="24"/>
    </w:rPr>
  </w:style>
  <w:style w:type="paragraph" w:customStyle="1" w:styleId="18">
    <w:name w:val="6_表题"/>
    <w:basedOn w:val="10"/>
    <w:next w:val="10"/>
    <w:qFormat/>
    <w:uiPriority w:val="0"/>
    <w:pPr>
      <w:spacing w:beforeLines="50"/>
      <w:jc w:val="center"/>
    </w:pPr>
    <w:rPr>
      <w:sz w:val="21"/>
    </w:rPr>
  </w:style>
  <w:style w:type="character" w:customStyle="1" w:styleId="19">
    <w:name w:val="页眉 Char"/>
    <w:basedOn w:val="8"/>
    <w:link w:val="5"/>
    <w:uiPriority w:val="99"/>
    <w:rPr>
      <w:sz w:val="18"/>
      <w:szCs w:val="18"/>
    </w:rPr>
  </w:style>
  <w:style w:type="character" w:customStyle="1" w:styleId="20">
    <w:name w:val="页脚 Char"/>
    <w:basedOn w:val="8"/>
    <w:link w:val="4"/>
    <w:uiPriority w:val="99"/>
    <w:rPr>
      <w:sz w:val="18"/>
      <w:szCs w:val="18"/>
    </w:rPr>
  </w:style>
  <w:style w:type="character" w:customStyle="1" w:styleId="21">
    <w:name w:val="文档结构图 Char"/>
    <w:basedOn w:val="8"/>
    <w:link w:val="2"/>
    <w:semiHidden/>
    <w:uiPriority w:val="99"/>
    <w:rPr>
      <w:rFonts w:ascii="宋体"/>
      <w:sz w:val="18"/>
      <w:szCs w:val="18"/>
    </w:rPr>
  </w:style>
  <w:style w:type="paragraph" w:styleId="22">
    <w:name w:val="List Paragraph"/>
    <w:basedOn w:val="1"/>
    <w:qFormat/>
    <w:uiPriority w:val="34"/>
    <w:pPr>
      <w:widowControl w:val="0"/>
      <w:spacing w:line="240" w:lineRule="auto"/>
      <w:ind w:firstLine="420" w:firstLineChars="200"/>
    </w:pPr>
    <w:rPr>
      <w:rFonts w:asciiTheme="minorHAnsi" w:hAnsiTheme="minorHAnsi" w:eastAsiaTheme="minorEastAsia"/>
      <w:sz w:val="21"/>
    </w:rPr>
  </w:style>
  <w:style w:type="character" w:customStyle="1" w:styleId="23">
    <w:name w:val="批注框文本 Char"/>
    <w:basedOn w:val="8"/>
    <w:link w:val="3"/>
    <w:semiHidden/>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527</Words>
  <Characters>3010</Characters>
  <Lines>25</Lines>
  <Paragraphs>7</Paragraphs>
  <TotalTime>42</TotalTime>
  <ScaleCrop>false</ScaleCrop>
  <LinksUpToDate>false</LinksUpToDate>
  <CharactersWithSpaces>3530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2021-08-20T01:48:00Z</dcterms:created>
  <dc:creator>LiQi</dc:creator>
  <cp:lastModifiedBy>该做什么</cp:lastModifiedBy>
  <cp:lastPrinted>2020-07-03T05:49:00Z</cp:lastPrinted>
  <dcterms:modified xsi:type="dcterms:W3CDTF">2021-08-27T09:14:38Z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